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DE" w:rsidRDefault="006639FE" w:rsidP="00A612C8">
      <w:r>
        <w:rPr>
          <w:noProof/>
          <w:lang w:eastAsia="en-AU"/>
        </w:rPr>
        <w:drawing>
          <wp:inline distT="0" distB="0" distL="0" distR="0">
            <wp:extent cx="5581650" cy="466725"/>
            <wp:effectExtent l="0" t="0" r="0" b="9525"/>
            <wp:docPr id="1" name="Picture 1" descr="Laptop wraps, Modelling atom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C8" w:rsidRDefault="00A612C8" w:rsidP="00A612C8">
      <w:pPr>
        <w:pStyle w:val="Heading2"/>
      </w:pPr>
      <w:r>
        <w:t>Teaching notes</w:t>
      </w:r>
    </w:p>
    <w:p w:rsidR="00BC4F1F" w:rsidRPr="006639FE" w:rsidRDefault="00BC4F1F" w:rsidP="006639FE">
      <w:pPr>
        <w:pStyle w:val="Heading3"/>
      </w:pPr>
      <w:r w:rsidRPr="006639FE">
        <w:t>Explor</w:t>
      </w:r>
      <w:r w:rsidR="006639FE" w:rsidRPr="006639FE">
        <w:t>ing the resource</w:t>
      </w:r>
      <w:r w:rsidR="00A612C8" w:rsidRPr="006639FE">
        <w:t xml:space="preserve"> </w:t>
      </w:r>
      <w:r w:rsidRPr="006639FE">
        <w:t xml:space="preserve"> </w:t>
      </w:r>
    </w:p>
    <w:p w:rsidR="00D04A56" w:rsidRDefault="00D04A56" w:rsidP="00D04A56">
      <w:pPr>
        <w:rPr>
          <w:rFonts w:asciiTheme="minorHAnsi" w:eastAsia="Calibri" w:hAnsiTheme="minorHAnsi" w:cstheme="minorHAnsi"/>
        </w:rPr>
      </w:pPr>
      <w:r w:rsidRPr="006639FE">
        <w:rPr>
          <w:rFonts w:asciiTheme="minorHAnsi" w:eastAsia="Calibri" w:hAnsiTheme="minorHAnsi" w:cstheme="minorHAnsi"/>
        </w:rPr>
        <w:t xml:space="preserve">The information on the models of an atom is presented in an engaging form in the activity from the </w:t>
      </w:r>
      <w:proofErr w:type="spellStart"/>
      <w:r w:rsidRPr="006639FE">
        <w:rPr>
          <w:rFonts w:asciiTheme="minorHAnsi" w:eastAsia="Calibri" w:hAnsiTheme="minorHAnsi" w:cstheme="minorHAnsi"/>
        </w:rPr>
        <w:t>Le@rning</w:t>
      </w:r>
      <w:proofErr w:type="spellEnd"/>
      <w:r w:rsidRPr="006639FE">
        <w:rPr>
          <w:rFonts w:asciiTheme="minorHAnsi" w:eastAsia="Calibri" w:hAnsiTheme="minorHAnsi" w:cstheme="minorHAnsi"/>
        </w:rPr>
        <w:t xml:space="preserve"> Federation. This goes through two models of the atoms and then gets the students to make up atoms and ions using </w:t>
      </w:r>
      <w:proofErr w:type="spellStart"/>
      <w:r w:rsidRPr="006639FE">
        <w:rPr>
          <w:rFonts w:asciiTheme="minorHAnsi" w:eastAsia="Calibri" w:hAnsiTheme="minorHAnsi" w:cstheme="minorHAnsi"/>
        </w:rPr>
        <w:t>draggable</w:t>
      </w:r>
      <w:proofErr w:type="spellEnd"/>
      <w:r w:rsidRPr="006639FE">
        <w:rPr>
          <w:rFonts w:asciiTheme="minorHAnsi" w:eastAsia="Calibri" w:hAnsiTheme="minorHAnsi" w:cstheme="minorHAnsi"/>
        </w:rPr>
        <w:t xml:space="preserve"> protons, neutrons and electrons. At the end is a bingo game that gets the students to compete against each other</w:t>
      </w:r>
      <w:r w:rsidR="00AF5C9F" w:rsidRPr="006639FE">
        <w:rPr>
          <w:rFonts w:asciiTheme="minorHAnsi" w:eastAsia="Calibri" w:hAnsiTheme="minorHAnsi" w:cstheme="minorHAnsi"/>
        </w:rPr>
        <w:t>.</w:t>
      </w:r>
      <w:r w:rsidRPr="006639FE">
        <w:rPr>
          <w:rFonts w:asciiTheme="minorHAnsi" w:eastAsia="Calibri" w:hAnsiTheme="minorHAnsi" w:cstheme="minorHAnsi"/>
        </w:rPr>
        <w:t xml:space="preserve"> The other link shows the first twenty elements and will be useful for constructing the clay models.</w:t>
      </w:r>
    </w:p>
    <w:p w:rsidR="008D2178" w:rsidRDefault="008D2178" w:rsidP="00D04A56">
      <w:pPr>
        <w:rPr>
          <w:rFonts w:asciiTheme="minorHAnsi" w:eastAsia="Calibri" w:hAnsiTheme="minorHAnsi" w:cstheme="minorHAnsi"/>
        </w:rPr>
      </w:pPr>
    </w:p>
    <w:p w:rsidR="006639FE" w:rsidRPr="006639FE" w:rsidRDefault="006639FE" w:rsidP="00D04A56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You will need a web browser with Flash enabled to access the activity. Contact your school’s ICT contact for support in installing/enabling the Flash extension for your preferred web browser.</w:t>
      </w:r>
    </w:p>
    <w:p w:rsidR="00BC4F1F" w:rsidRPr="006639FE" w:rsidRDefault="00BC4F1F" w:rsidP="006639FE">
      <w:pPr>
        <w:pStyle w:val="Heading3"/>
      </w:pPr>
      <w:r w:rsidRPr="006639FE">
        <w:t xml:space="preserve">Your tasks </w:t>
      </w:r>
    </w:p>
    <w:p w:rsidR="006639FE" w:rsidRPr="006639FE" w:rsidRDefault="00D04A56" w:rsidP="006639FE">
      <w:pPr>
        <w:rPr>
          <w:rFonts w:asciiTheme="minorHAnsi" w:hAnsiTheme="minorHAnsi" w:cstheme="minorHAnsi"/>
        </w:rPr>
      </w:pPr>
      <w:r w:rsidRPr="006639FE">
        <w:rPr>
          <w:rFonts w:asciiTheme="minorHAnsi" w:hAnsiTheme="minorHAnsi" w:cstheme="minorHAnsi"/>
        </w:rPr>
        <w:t>There are three tasks to choose from. Each task has instructions on how to complete the task. The students can choose their own method of assessment.</w:t>
      </w:r>
    </w:p>
    <w:p w:rsidR="00426BDE" w:rsidRPr="006639FE" w:rsidRDefault="00426BDE" w:rsidP="006639FE">
      <w:pPr>
        <w:pStyle w:val="Heading3"/>
      </w:pPr>
      <w:r w:rsidRPr="006639FE">
        <w:t xml:space="preserve">Quality teaching framework </w:t>
      </w:r>
    </w:p>
    <w:p w:rsidR="00FB2023" w:rsidRDefault="00FB2023" w:rsidP="00FB2023">
      <w:pPr>
        <w:pStyle w:val="numberlist"/>
        <w:ind w:left="0" w:firstLine="0"/>
        <w:rPr>
          <w:rFonts w:asciiTheme="minorHAnsi" w:hAnsiTheme="minorHAnsi" w:cstheme="minorHAnsi"/>
        </w:rPr>
      </w:pPr>
      <w:r w:rsidRPr="006639FE">
        <w:rPr>
          <w:rFonts w:asciiTheme="minorHAnsi" w:hAnsiTheme="minorHAnsi" w:cstheme="minorHAnsi"/>
        </w:rPr>
        <w:t>This resource has been developed to support pe</w:t>
      </w:r>
      <w:bookmarkStart w:id="0" w:name="_GoBack"/>
      <w:bookmarkEnd w:id="0"/>
      <w:r w:rsidRPr="006639FE">
        <w:rPr>
          <w:rFonts w:asciiTheme="minorHAnsi" w:hAnsiTheme="minorHAnsi" w:cstheme="minorHAnsi"/>
        </w:rPr>
        <w:t xml:space="preserve">dagogy and improve student outcomes based around the NSW Quality </w:t>
      </w:r>
      <w:r w:rsidR="00257F67">
        <w:rPr>
          <w:rFonts w:asciiTheme="minorHAnsi" w:hAnsiTheme="minorHAnsi" w:cstheme="minorHAnsi"/>
        </w:rPr>
        <w:t>t</w:t>
      </w:r>
      <w:r w:rsidRPr="006639FE">
        <w:rPr>
          <w:rFonts w:asciiTheme="minorHAnsi" w:hAnsiTheme="minorHAnsi" w:cstheme="minorHAnsi"/>
        </w:rPr>
        <w:t>eaching framework, in particular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utlines the areas of the Quality teaching framework that is supported by this activity."/>
      </w:tblPr>
      <w:tblGrid>
        <w:gridCol w:w="2926"/>
        <w:gridCol w:w="2927"/>
        <w:gridCol w:w="2927"/>
      </w:tblGrid>
      <w:tr w:rsidR="00257F67" w:rsidTr="00257F67">
        <w:trPr>
          <w:tblHeader/>
        </w:trPr>
        <w:tc>
          <w:tcPr>
            <w:tcW w:w="2926" w:type="dxa"/>
            <w:vAlign w:val="center"/>
          </w:tcPr>
          <w:p w:rsidR="00257F67" w:rsidRPr="00EC5488" w:rsidRDefault="00257F67" w:rsidP="00257F67">
            <w:pPr>
              <w:jc w:val="center"/>
              <w:rPr>
                <w:rFonts w:ascii="Arial" w:hAnsi="Arial"/>
                <w:bCs/>
                <w:kern w:val="28"/>
                <w:sz w:val="30"/>
              </w:rPr>
            </w:pPr>
            <w:r w:rsidRPr="00EC5488">
              <w:rPr>
                <w:rFonts w:ascii="Arial" w:hAnsi="Arial"/>
                <w:bCs/>
                <w:kern w:val="28"/>
                <w:sz w:val="30"/>
              </w:rPr>
              <w:t>Intellectual quality</w:t>
            </w:r>
          </w:p>
        </w:tc>
        <w:tc>
          <w:tcPr>
            <w:tcW w:w="2927" w:type="dxa"/>
            <w:vAlign w:val="center"/>
          </w:tcPr>
          <w:p w:rsidR="00257F67" w:rsidRPr="00EC5488" w:rsidRDefault="00257F67" w:rsidP="00257F67">
            <w:pPr>
              <w:jc w:val="center"/>
              <w:rPr>
                <w:rFonts w:ascii="Arial" w:hAnsi="Arial"/>
                <w:bCs/>
                <w:kern w:val="28"/>
                <w:sz w:val="30"/>
              </w:rPr>
            </w:pPr>
            <w:r w:rsidRPr="00EC5488">
              <w:rPr>
                <w:rFonts w:ascii="Arial" w:hAnsi="Arial"/>
                <w:bCs/>
                <w:kern w:val="28"/>
                <w:sz w:val="30"/>
              </w:rPr>
              <w:t>Quality Learning Environment</w:t>
            </w:r>
          </w:p>
        </w:tc>
        <w:tc>
          <w:tcPr>
            <w:tcW w:w="2927" w:type="dxa"/>
            <w:vAlign w:val="center"/>
          </w:tcPr>
          <w:p w:rsidR="00257F67" w:rsidRPr="00EC5488" w:rsidRDefault="00257F67" w:rsidP="00257F67">
            <w:pPr>
              <w:jc w:val="center"/>
              <w:rPr>
                <w:rFonts w:ascii="Arial" w:hAnsi="Arial"/>
                <w:bCs/>
                <w:kern w:val="28"/>
                <w:sz w:val="30"/>
              </w:rPr>
            </w:pPr>
            <w:r w:rsidRPr="00EC5488">
              <w:rPr>
                <w:rFonts w:ascii="Arial" w:hAnsi="Arial"/>
                <w:bCs/>
                <w:kern w:val="28"/>
                <w:sz w:val="30"/>
              </w:rPr>
              <w:t>Significance</w:t>
            </w:r>
          </w:p>
        </w:tc>
      </w:tr>
      <w:tr w:rsidR="00257F67" w:rsidTr="00257F67">
        <w:tc>
          <w:tcPr>
            <w:tcW w:w="2926" w:type="dxa"/>
          </w:tcPr>
          <w:p w:rsidR="00257F67" w:rsidRPr="00257F67" w:rsidRDefault="00257F67" w:rsidP="00257F67">
            <w:pPr>
              <w:pStyle w:val="numberlist"/>
              <w:rPr>
                <w:rFonts w:asciiTheme="minorHAnsi" w:hAnsiTheme="minorHAnsi" w:cstheme="minorHAnsi"/>
              </w:rPr>
            </w:pPr>
            <w:r w:rsidRPr="00257F67">
              <w:rPr>
                <w:rFonts w:asciiTheme="minorHAnsi" w:hAnsiTheme="minorHAnsi" w:cstheme="minorHAnsi"/>
              </w:rPr>
              <w:t>1.1 Deep knowledge</w:t>
            </w:r>
          </w:p>
          <w:p w:rsidR="00257F67" w:rsidRPr="00257F67" w:rsidRDefault="00257F67" w:rsidP="00257F67">
            <w:pPr>
              <w:pStyle w:val="numberlist"/>
              <w:rPr>
                <w:rFonts w:asciiTheme="minorHAnsi" w:hAnsiTheme="minorHAnsi" w:cstheme="minorHAnsi"/>
              </w:rPr>
            </w:pPr>
            <w:r w:rsidRPr="00257F67">
              <w:rPr>
                <w:rFonts w:asciiTheme="minorHAnsi" w:hAnsiTheme="minorHAnsi" w:cstheme="minorHAnsi"/>
              </w:rPr>
              <w:t>1.3 Problematic knowledge</w:t>
            </w:r>
          </w:p>
        </w:tc>
        <w:tc>
          <w:tcPr>
            <w:tcW w:w="2927" w:type="dxa"/>
          </w:tcPr>
          <w:p w:rsidR="00257F67" w:rsidRPr="00257F67" w:rsidRDefault="00257F67" w:rsidP="00257F67">
            <w:pPr>
              <w:pStyle w:val="numberlist"/>
              <w:rPr>
                <w:rFonts w:asciiTheme="minorHAnsi" w:hAnsiTheme="minorHAnsi" w:cstheme="minorHAnsi"/>
              </w:rPr>
            </w:pPr>
            <w:r w:rsidRPr="00257F67">
              <w:rPr>
                <w:rFonts w:asciiTheme="minorHAnsi" w:hAnsiTheme="minorHAnsi" w:cstheme="minorHAnsi"/>
              </w:rPr>
              <w:t>2.1 Explicit quality criteria</w:t>
            </w:r>
          </w:p>
          <w:p w:rsidR="00257F67" w:rsidRPr="00257F67" w:rsidRDefault="00257F67" w:rsidP="00257F67">
            <w:pPr>
              <w:pStyle w:val="numberlist"/>
              <w:rPr>
                <w:rFonts w:asciiTheme="minorHAnsi" w:hAnsiTheme="minorHAnsi" w:cstheme="minorHAnsi"/>
              </w:rPr>
            </w:pPr>
            <w:r w:rsidRPr="00257F67">
              <w:rPr>
                <w:rFonts w:asciiTheme="minorHAnsi" w:hAnsiTheme="minorHAnsi" w:cstheme="minorHAnsi"/>
              </w:rPr>
              <w:t>2.3 High expectations</w:t>
            </w:r>
          </w:p>
          <w:p w:rsidR="00257F67" w:rsidRPr="00257F67" w:rsidRDefault="00257F67" w:rsidP="00257F67">
            <w:pPr>
              <w:pStyle w:val="numberlist"/>
              <w:rPr>
                <w:rFonts w:asciiTheme="minorHAnsi" w:hAnsiTheme="minorHAnsi" w:cstheme="minorHAnsi"/>
              </w:rPr>
            </w:pPr>
            <w:r w:rsidRPr="00257F67">
              <w:rPr>
                <w:rFonts w:asciiTheme="minorHAnsi" w:hAnsiTheme="minorHAnsi" w:cstheme="minorHAnsi"/>
              </w:rPr>
              <w:t>2.5 Students’ Self-Regulation</w:t>
            </w:r>
          </w:p>
        </w:tc>
        <w:tc>
          <w:tcPr>
            <w:tcW w:w="2927" w:type="dxa"/>
          </w:tcPr>
          <w:p w:rsidR="00257F67" w:rsidRPr="00257F67" w:rsidRDefault="00257F67" w:rsidP="00257F67">
            <w:pPr>
              <w:pStyle w:val="numberlist"/>
              <w:ind w:left="0" w:firstLine="0"/>
              <w:rPr>
                <w:rFonts w:asciiTheme="minorHAnsi" w:hAnsiTheme="minorHAnsi" w:cstheme="minorHAnsi"/>
              </w:rPr>
            </w:pPr>
            <w:r w:rsidRPr="00257F67">
              <w:rPr>
                <w:rFonts w:asciiTheme="minorHAnsi" w:hAnsiTheme="minorHAnsi" w:cstheme="minorHAnsi"/>
              </w:rPr>
              <w:t>3.6 Narrative</w:t>
            </w:r>
          </w:p>
        </w:tc>
      </w:tr>
    </w:tbl>
    <w:p w:rsidR="00257F67" w:rsidRDefault="00257F67" w:rsidP="00FB2023">
      <w:pPr>
        <w:pStyle w:val="numberlist"/>
        <w:ind w:left="0" w:firstLine="0"/>
        <w:rPr>
          <w:rFonts w:asciiTheme="minorHAnsi" w:hAnsiTheme="minorHAnsi" w:cstheme="minorHAnsi"/>
        </w:rPr>
      </w:pPr>
    </w:p>
    <w:p w:rsidR="00257F67" w:rsidRPr="006639FE" w:rsidRDefault="00257F67" w:rsidP="00FB2023">
      <w:pPr>
        <w:pStyle w:val="numberlist"/>
        <w:ind w:left="0" w:firstLine="0"/>
        <w:rPr>
          <w:rFonts w:asciiTheme="minorHAnsi" w:hAnsiTheme="minorHAnsi" w:cstheme="minorHAnsi"/>
        </w:rPr>
      </w:pPr>
    </w:p>
    <w:p w:rsidR="00971D72" w:rsidRPr="00BC4F1F" w:rsidRDefault="00971D72" w:rsidP="00D04A56">
      <w:pPr>
        <w:pStyle w:val="numberlist"/>
        <w:ind w:left="0" w:firstLine="0"/>
      </w:pPr>
    </w:p>
    <w:sectPr w:rsidR="00971D72" w:rsidRPr="00BC4F1F" w:rsidSect="00A612C8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134" w:right="1701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8C" w:rsidRDefault="00CE168C">
      <w:r>
        <w:separator/>
      </w:r>
    </w:p>
  </w:endnote>
  <w:endnote w:type="continuationSeparator" w:id="0">
    <w:p w:rsidR="00CE168C" w:rsidRDefault="00CE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0C" w:rsidRDefault="00D9140C" w:rsidP="00391A51">
    <w:pPr>
      <w:pStyle w:val="Footer"/>
      <w:ind w:left="0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  <w:r w:rsidR="006639FE" w:rsidRPr="00E94EE4">
      <w:rPr>
        <w:rStyle w:val="PageNumber"/>
        <w:noProof/>
        <w:lang w:eastAsia="en-AU"/>
      </w:rPr>
      <w:drawing>
        <wp:inline distT="0" distB="0" distL="0" distR="0">
          <wp:extent cx="504825" cy="180975"/>
          <wp:effectExtent l="0" t="0" r="0" b="0"/>
          <wp:docPr id="2" name="Picture 2" descr="neals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ls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40C" w:rsidRPr="00740FA3" w:rsidRDefault="00D9140C">
    <w:pPr>
      <w:pStyle w:val="Projectnumberinfo"/>
      <w:rPr>
        <w:b w:val="0"/>
        <w:bCs/>
        <w:szCs w:val="12"/>
      </w:rPr>
    </w:pPr>
    <w:r>
      <w:tab/>
    </w:r>
    <w:r>
      <w:rPr>
        <w:rStyle w:val="PageNumber"/>
        <w:b w:val="0"/>
        <w:bCs/>
        <w:sz w:val="12"/>
        <w:szCs w:val="12"/>
      </w:rPr>
      <w:t>© NSW DET 20</w:t>
    </w:r>
    <w:r w:rsidR="00391A51">
      <w:rPr>
        <w:rStyle w:val="PageNumber"/>
        <w:b w:val="0"/>
        <w:bCs/>
        <w:sz w:val="12"/>
        <w:szCs w:val="12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0C" w:rsidRPr="006639FE" w:rsidRDefault="006639FE" w:rsidP="00257F67">
    <w:pPr>
      <w:pStyle w:val="Footer"/>
      <w:tabs>
        <w:tab w:val="clear" w:pos="7371"/>
        <w:tab w:val="right" w:pos="8647"/>
      </w:tabs>
      <w:spacing w:line="180" w:lineRule="atLeast"/>
      <w:ind w:left="0"/>
      <w:rPr>
        <w:rFonts w:asciiTheme="minorHAnsi" w:hAnsiTheme="minorHAnsi" w:cstheme="minorHAnsi"/>
        <w:sz w:val="22"/>
        <w:szCs w:val="22"/>
      </w:rPr>
    </w:pPr>
    <w:r w:rsidRPr="006639FE">
      <w:rPr>
        <w:rStyle w:val="PageNumber"/>
        <w:rFonts w:asciiTheme="minorHAnsi" w:hAnsiTheme="minorHAnsi" w:cstheme="minorHAnsi"/>
        <w:sz w:val="22"/>
        <w:szCs w:val="22"/>
      </w:rPr>
      <w:t xml:space="preserve">© </w:t>
    </w:r>
    <w:r>
      <w:rPr>
        <w:rStyle w:val="PageNumber"/>
        <w:rFonts w:asciiTheme="minorHAnsi" w:hAnsiTheme="minorHAnsi" w:cstheme="minorHAnsi"/>
        <w:sz w:val="22"/>
        <w:szCs w:val="22"/>
      </w:rPr>
      <w:t xml:space="preserve">State of </w:t>
    </w:r>
    <w:r w:rsidRPr="006639FE">
      <w:rPr>
        <w:rStyle w:val="PageNumber"/>
        <w:rFonts w:asciiTheme="minorHAnsi" w:hAnsiTheme="minorHAnsi" w:cstheme="minorHAnsi"/>
        <w:sz w:val="22"/>
        <w:szCs w:val="22"/>
      </w:rPr>
      <w:t>NSW</w:t>
    </w:r>
    <w:r>
      <w:rPr>
        <w:rStyle w:val="PageNumber"/>
        <w:rFonts w:asciiTheme="minorHAnsi" w:hAnsiTheme="minorHAnsi" w:cstheme="minorHAnsi"/>
        <w:sz w:val="22"/>
        <w:szCs w:val="22"/>
      </w:rPr>
      <w:t xml:space="preserve">, Department of Education, 2018 </w:t>
    </w:r>
    <w:r w:rsidR="00257F67">
      <w:rPr>
        <w:rStyle w:val="PageNumber"/>
        <w:rFonts w:asciiTheme="minorHAnsi" w:hAnsiTheme="minorHAnsi" w:cstheme="minorHAnsi"/>
        <w:sz w:val="22"/>
        <w:szCs w:val="22"/>
      </w:rPr>
      <w:tab/>
    </w:r>
    <w:r w:rsidR="00D9140C" w:rsidRPr="006639FE">
      <w:rPr>
        <w:rStyle w:val="PageNumber"/>
        <w:rFonts w:asciiTheme="minorHAnsi" w:hAnsiTheme="minorHAnsi" w:cstheme="minorHAnsi"/>
        <w:sz w:val="22"/>
        <w:szCs w:val="22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8C" w:rsidRDefault="00CE168C">
      <w:r>
        <w:separator/>
      </w:r>
    </w:p>
  </w:footnote>
  <w:footnote w:type="continuationSeparator" w:id="0">
    <w:p w:rsidR="00CE168C" w:rsidRDefault="00CE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0C" w:rsidRDefault="00D9140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0C" w:rsidRDefault="00D9140C" w:rsidP="00426BDE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A9"/>
    <w:rsid w:val="00004989"/>
    <w:rsid w:val="00011799"/>
    <w:rsid w:val="00027574"/>
    <w:rsid w:val="000340B9"/>
    <w:rsid w:val="00040AB2"/>
    <w:rsid w:val="00071A91"/>
    <w:rsid w:val="00086919"/>
    <w:rsid w:val="000C4D13"/>
    <w:rsid w:val="000D706C"/>
    <w:rsid w:val="000F0F1B"/>
    <w:rsid w:val="0010327C"/>
    <w:rsid w:val="001061CF"/>
    <w:rsid w:val="00106FB5"/>
    <w:rsid w:val="001233EE"/>
    <w:rsid w:val="00130DB9"/>
    <w:rsid w:val="001323E5"/>
    <w:rsid w:val="00135731"/>
    <w:rsid w:val="00167C9C"/>
    <w:rsid w:val="001D6B4F"/>
    <w:rsid w:val="001F3D62"/>
    <w:rsid w:val="00227BBF"/>
    <w:rsid w:val="0024588B"/>
    <w:rsid w:val="00252113"/>
    <w:rsid w:val="00257F67"/>
    <w:rsid w:val="002A53DB"/>
    <w:rsid w:val="002D1406"/>
    <w:rsid w:val="00320096"/>
    <w:rsid w:val="00335C06"/>
    <w:rsid w:val="00345EAE"/>
    <w:rsid w:val="00360C77"/>
    <w:rsid w:val="00381244"/>
    <w:rsid w:val="00390994"/>
    <w:rsid w:val="00391A51"/>
    <w:rsid w:val="003E685E"/>
    <w:rsid w:val="0040173F"/>
    <w:rsid w:val="00412565"/>
    <w:rsid w:val="00425F51"/>
    <w:rsid w:val="00426BDE"/>
    <w:rsid w:val="00431375"/>
    <w:rsid w:val="00440064"/>
    <w:rsid w:val="00440950"/>
    <w:rsid w:val="00441277"/>
    <w:rsid w:val="00444924"/>
    <w:rsid w:val="004449A6"/>
    <w:rsid w:val="00451054"/>
    <w:rsid w:val="004640EC"/>
    <w:rsid w:val="004738A3"/>
    <w:rsid w:val="00492C2A"/>
    <w:rsid w:val="004B4BF0"/>
    <w:rsid w:val="004B57C5"/>
    <w:rsid w:val="004C4355"/>
    <w:rsid w:val="004C49A6"/>
    <w:rsid w:val="004C5B68"/>
    <w:rsid w:val="004D0828"/>
    <w:rsid w:val="004D1F44"/>
    <w:rsid w:val="004D7AA6"/>
    <w:rsid w:val="004E0072"/>
    <w:rsid w:val="004E0602"/>
    <w:rsid w:val="004E0A38"/>
    <w:rsid w:val="004F7B39"/>
    <w:rsid w:val="00507401"/>
    <w:rsid w:val="00513260"/>
    <w:rsid w:val="00515BB0"/>
    <w:rsid w:val="0051643B"/>
    <w:rsid w:val="00525980"/>
    <w:rsid w:val="00544122"/>
    <w:rsid w:val="0055517D"/>
    <w:rsid w:val="00560E24"/>
    <w:rsid w:val="00594318"/>
    <w:rsid w:val="005952A5"/>
    <w:rsid w:val="005C6183"/>
    <w:rsid w:val="005D5C83"/>
    <w:rsid w:val="0061066F"/>
    <w:rsid w:val="0061340D"/>
    <w:rsid w:val="00662269"/>
    <w:rsid w:val="006639FE"/>
    <w:rsid w:val="00672CCE"/>
    <w:rsid w:val="00675E15"/>
    <w:rsid w:val="00695751"/>
    <w:rsid w:val="006A0DF2"/>
    <w:rsid w:val="006B0EF0"/>
    <w:rsid w:val="006C05F4"/>
    <w:rsid w:val="006C3ACA"/>
    <w:rsid w:val="006E7BF0"/>
    <w:rsid w:val="006F312C"/>
    <w:rsid w:val="007105C9"/>
    <w:rsid w:val="007357C1"/>
    <w:rsid w:val="00740FA3"/>
    <w:rsid w:val="00753CD3"/>
    <w:rsid w:val="007832CE"/>
    <w:rsid w:val="007A51A6"/>
    <w:rsid w:val="00802A6B"/>
    <w:rsid w:val="0080499D"/>
    <w:rsid w:val="00813C10"/>
    <w:rsid w:val="008264E6"/>
    <w:rsid w:val="0083013E"/>
    <w:rsid w:val="00841FEB"/>
    <w:rsid w:val="00851C49"/>
    <w:rsid w:val="0086236E"/>
    <w:rsid w:val="0086308C"/>
    <w:rsid w:val="00892188"/>
    <w:rsid w:val="008D2178"/>
    <w:rsid w:val="008F1CED"/>
    <w:rsid w:val="00902004"/>
    <w:rsid w:val="00905610"/>
    <w:rsid w:val="00907D3A"/>
    <w:rsid w:val="00921087"/>
    <w:rsid w:val="00922267"/>
    <w:rsid w:val="00934B5C"/>
    <w:rsid w:val="009354AA"/>
    <w:rsid w:val="009534B1"/>
    <w:rsid w:val="0095405D"/>
    <w:rsid w:val="00971D72"/>
    <w:rsid w:val="00973C3A"/>
    <w:rsid w:val="0099224C"/>
    <w:rsid w:val="00994711"/>
    <w:rsid w:val="009950FD"/>
    <w:rsid w:val="009B135B"/>
    <w:rsid w:val="009B2E66"/>
    <w:rsid w:val="009B4618"/>
    <w:rsid w:val="009B6FA9"/>
    <w:rsid w:val="009F0084"/>
    <w:rsid w:val="00A00127"/>
    <w:rsid w:val="00A03155"/>
    <w:rsid w:val="00A0720C"/>
    <w:rsid w:val="00A12FDF"/>
    <w:rsid w:val="00A13DB8"/>
    <w:rsid w:val="00A17EB6"/>
    <w:rsid w:val="00A22CE8"/>
    <w:rsid w:val="00A25DA6"/>
    <w:rsid w:val="00A32720"/>
    <w:rsid w:val="00A612C8"/>
    <w:rsid w:val="00A7518A"/>
    <w:rsid w:val="00A97D04"/>
    <w:rsid w:val="00AA120D"/>
    <w:rsid w:val="00AB07F2"/>
    <w:rsid w:val="00AF134A"/>
    <w:rsid w:val="00AF5C9F"/>
    <w:rsid w:val="00AF69A8"/>
    <w:rsid w:val="00B00BDE"/>
    <w:rsid w:val="00B172FC"/>
    <w:rsid w:val="00B26873"/>
    <w:rsid w:val="00B377AF"/>
    <w:rsid w:val="00B42CC5"/>
    <w:rsid w:val="00B4583C"/>
    <w:rsid w:val="00B5416A"/>
    <w:rsid w:val="00B70651"/>
    <w:rsid w:val="00B91780"/>
    <w:rsid w:val="00B9436D"/>
    <w:rsid w:val="00BC4F1F"/>
    <w:rsid w:val="00BD47D1"/>
    <w:rsid w:val="00BF7D76"/>
    <w:rsid w:val="00C04FB0"/>
    <w:rsid w:val="00C26618"/>
    <w:rsid w:val="00C27D88"/>
    <w:rsid w:val="00C34134"/>
    <w:rsid w:val="00C50C06"/>
    <w:rsid w:val="00C653F1"/>
    <w:rsid w:val="00C72342"/>
    <w:rsid w:val="00C87BE3"/>
    <w:rsid w:val="00CE168C"/>
    <w:rsid w:val="00CE372D"/>
    <w:rsid w:val="00CE53D0"/>
    <w:rsid w:val="00D04A56"/>
    <w:rsid w:val="00D40761"/>
    <w:rsid w:val="00D62D7D"/>
    <w:rsid w:val="00D9140C"/>
    <w:rsid w:val="00D9322E"/>
    <w:rsid w:val="00DB3DE7"/>
    <w:rsid w:val="00DD1F66"/>
    <w:rsid w:val="00E16375"/>
    <w:rsid w:val="00E27734"/>
    <w:rsid w:val="00E342A5"/>
    <w:rsid w:val="00E51418"/>
    <w:rsid w:val="00E53CE7"/>
    <w:rsid w:val="00E574D0"/>
    <w:rsid w:val="00E6124F"/>
    <w:rsid w:val="00E727B0"/>
    <w:rsid w:val="00E73DF3"/>
    <w:rsid w:val="00E86180"/>
    <w:rsid w:val="00E94EE4"/>
    <w:rsid w:val="00E96553"/>
    <w:rsid w:val="00EC5488"/>
    <w:rsid w:val="00EC6447"/>
    <w:rsid w:val="00EF2E35"/>
    <w:rsid w:val="00EF3FA0"/>
    <w:rsid w:val="00F106DC"/>
    <w:rsid w:val="00F32876"/>
    <w:rsid w:val="00F50EFE"/>
    <w:rsid w:val="00F604E8"/>
    <w:rsid w:val="00F74F80"/>
    <w:rsid w:val="00F8310E"/>
    <w:rsid w:val="00F863B9"/>
    <w:rsid w:val="00FA3251"/>
    <w:rsid w:val="00FB2023"/>
    <w:rsid w:val="00FC590F"/>
    <w:rsid w:val="00FC6777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6E4E75-56F9-4C36-ABA2-8F204977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1"/>
    <w:next w:val="BodyText1"/>
    <w:qFormat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1"/>
    <w:qFormat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1"/>
    <w:qFormat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1"/>
    <w:qFormat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t"/>
    <w:basedOn w:val="Normal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1"/>
    <w:next w:val="BodyText1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1"/>
    <w:next w:val="figurecaption"/>
    <w:rsid w:val="00167C9C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1"/>
    <w:next w:val="alttext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</w:style>
  <w:style w:type="paragraph" w:customStyle="1" w:styleId="bibliographicentry">
    <w:name w:val="bibliographic_entry"/>
    <w:basedOn w:val="BodyText1"/>
    <w:pPr>
      <w:keepLines/>
    </w:pPr>
    <w:rPr>
      <w:kern w:val="28"/>
    </w:rPr>
  </w:style>
  <w:style w:type="paragraph" w:customStyle="1" w:styleId="bulletlist">
    <w:name w:val="bullet list"/>
    <w:aliases w:val="l"/>
    <w:basedOn w:val="BodyText1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1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1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1"/>
    <w:next w:val="BodyText1"/>
    <w:pPr>
      <w:spacing w:before="0" w:after="0" w:line="240" w:lineRule="atLeast"/>
    </w:pPr>
  </w:style>
  <w:style w:type="paragraph" w:customStyle="1" w:styleId="extract">
    <w:name w:val="extract"/>
    <w:aliases w:val="x"/>
    <w:basedOn w:val="BodyText1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1"/>
    <w:next w:val="BodyText1"/>
  </w:style>
  <w:style w:type="paragraph" w:customStyle="1" w:styleId="feedbackincorrect">
    <w:name w:val="feedback incorrect"/>
    <w:basedOn w:val="BodyText1"/>
    <w:next w:val="BodyText1"/>
  </w:style>
  <w:style w:type="paragraph" w:customStyle="1" w:styleId="feedbacktitle">
    <w:name w:val="feedback title"/>
    <w:basedOn w:val="BodyText1"/>
    <w:next w:val="BodyText1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1"/>
    <w:next w:val="BodyText1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1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1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pPr>
      <w:ind w:left="-993" w:hanging="425"/>
    </w:pPr>
  </w:style>
  <w:style w:type="paragraph" w:customStyle="1" w:styleId="linessubindent">
    <w:name w:val="lines subindent"/>
    <w:aliases w:val="is"/>
    <w:basedOn w:val="linesindent"/>
    <w:pPr>
      <w:ind w:left="-709" w:hanging="284"/>
    </w:pPr>
  </w:style>
  <w:style w:type="paragraph" w:customStyle="1" w:styleId="linessubsubindent">
    <w:name w:val="lines subsubindent"/>
    <w:aliases w:val="it"/>
    <w:basedOn w:val="BodyText1"/>
    <w:pPr>
      <w:tabs>
        <w:tab w:val="right" w:leader="underscore" w:pos="7371"/>
      </w:tabs>
    </w:pPr>
  </w:style>
  <w:style w:type="paragraph" w:customStyle="1" w:styleId="listcheck">
    <w:name w:val="list check"/>
    <w:basedOn w:val="BodyText1"/>
    <w:locked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1"/>
    <w:next w:val="alttext"/>
    <w:pPr>
      <w:spacing w:before="80"/>
      <w:ind w:left="1701" w:hanging="992"/>
    </w:pPr>
  </w:style>
  <w:style w:type="paragraph" w:customStyle="1" w:styleId="mcanswer">
    <w:name w:val="mc answer"/>
    <w:basedOn w:val="BodyText1"/>
    <w:next w:val="Normal"/>
    <w:pPr>
      <w:ind w:left="425" w:hanging="425"/>
    </w:pPr>
  </w:style>
  <w:style w:type="paragraph" w:customStyle="1" w:styleId="mcdistracter">
    <w:name w:val="mc distracter"/>
    <w:basedOn w:val="BodyText1"/>
    <w:pPr>
      <w:ind w:left="425" w:hanging="425"/>
    </w:pPr>
  </w:style>
  <w:style w:type="paragraph" w:customStyle="1" w:styleId="mcstem">
    <w:name w:val="mc_stem"/>
    <w:basedOn w:val="BodyText1"/>
    <w:next w:val="mcdistracter"/>
    <w:pPr>
      <w:spacing w:before="240"/>
      <w:ind w:left="-993" w:hanging="425"/>
    </w:pPr>
  </w:style>
  <w:style w:type="paragraph" w:customStyle="1" w:styleId="mwmissingwordstem">
    <w:name w:val="mw missing word stem"/>
    <w:basedOn w:val="BodyText1"/>
    <w:next w:val="Normal"/>
    <w:pPr>
      <w:spacing w:before="240"/>
      <w:ind w:left="-993" w:hanging="425"/>
    </w:pPr>
  </w:style>
  <w:style w:type="character" w:customStyle="1" w:styleId="mwmissingwordstyle">
    <w:name w:val="mw missing word style"/>
    <w:basedOn w:val="DefaultParagraphFont"/>
    <w:rPr>
      <w:color w:val="993366"/>
    </w:rPr>
  </w:style>
  <w:style w:type="paragraph" w:customStyle="1" w:styleId="mwparagraph">
    <w:name w:val="mw paragraph"/>
    <w:basedOn w:val="BodyText1"/>
    <w:next w:val="feedbacktitle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1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pPr>
      <w:ind w:left="1276"/>
    </w:pPr>
  </w:style>
  <w:style w:type="character" w:styleId="PageNumber">
    <w:name w:val="page number"/>
    <w:basedOn w:val="DefaultParagraphFont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1"/>
    <w:next w:val="BodyText1"/>
    <w:locked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1"/>
    <w:next w:val="linesindent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</w:style>
  <w:style w:type="paragraph" w:customStyle="1" w:styleId="progressassignmentquestionsecondpara">
    <w:name w:val="progress/assignment question_second para"/>
    <w:basedOn w:val="progressassignmentquestion"/>
    <w:next w:val="linesindent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pPr>
      <w:ind w:left="-1418"/>
    </w:pPr>
  </w:style>
  <w:style w:type="paragraph" w:customStyle="1" w:styleId="progressassignmenttext">
    <w:name w:val="progress/assignment text"/>
    <w:basedOn w:val="BodyText1"/>
    <w:pPr>
      <w:ind w:left="-1418"/>
    </w:pPr>
  </w:style>
  <w:style w:type="paragraph" w:customStyle="1" w:styleId="progressassignmenttextbullets">
    <w:name w:val="progress/assignment text bullets"/>
    <w:basedOn w:val="Normal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1"/>
    <w:next w:val="feedbacktitle"/>
    <w:pPr>
      <w:ind w:hanging="397"/>
    </w:pPr>
  </w:style>
  <w:style w:type="paragraph" w:customStyle="1" w:styleId="studentresponseonline">
    <w:name w:val="student_response_online"/>
    <w:basedOn w:val="BodyText1"/>
    <w:next w:val="BodyText1"/>
  </w:style>
  <w:style w:type="paragraph" w:customStyle="1" w:styleId="tablebulllist">
    <w:name w:val="table bull list"/>
    <w:basedOn w:val="BodyText1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1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1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1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1"/>
    <w:next w:val="alttext"/>
    <w:pPr>
      <w:jc w:val="center"/>
    </w:pPr>
  </w:style>
  <w:style w:type="paragraph" w:customStyle="1" w:styleId="tfstatementFalse">
    <w:name w:val="tf statement False"/>
    <w:basedOn w:val="BodyText1"/>
    <w:next w:val="feedbacktitle"/>
  </w:style>
  <w:style w:type="paragraph" w:customStyle="1" w:styleId="tfstatementTrue">
    <w:name w:val="tf statement True"/>
    <w:basedOn w:val="BodyText1"/>
    <w:next w:val="feedbacktitle"/>
  </w:style>
  <w:style w:type="paragraph" w:customStyle="1" w:styleId="tfstem">
    <w:name w:val="tf_stem"/>
    <w:basedOn w:val="BodyText1"/>
    <w:next w:val="tfstatementTrue"/>
    <w:pPr>
      <w:spacing w:before="240"/>
      <w:ind w:left="-993" w:hanging="425"/>
    </w:pPr>
  </w:style>
  <w:style w:type="paragraph" w:styleId="TOC1">
    <w:name w:val="toc 1"/>
    <w:basedOn w:val="BodyText1"/>
    <w:next w:val="Normal"/>
    <w:semiHidden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1"/>
    <w:next w:val="BodyText1"/>
  </w:style>
  <w:style w:type="paragraph" w:customStyle="1" w:styleId="transcript">
    <w:name w:val="transcript"/>
    <w:basedOn w:val="alttext"/>
  </w:style>
  <w:style w:type="paragraph" w:customStyle="1" w:styleId="inlineflash">
    <w:name w:val="inline flash"/>
    <w:basedOn w:val="imageinline"/>
    <w:next w:val="figurecaption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rsid w:val="00227BBF"/>
    <w:pPr>
      <w:spacing w:line="220" w:lineRule="atLeast"/>
      <w:ind w:left="284" w:hanging="284"/>
    </w:pPr>
  </w:style>
  <w:style w:type="table" w:styleId="TableGrid">
    <w:name w:val="Table Grid"/>
    <w:basedOn w:val="TableNormal"/>
    <w:locked/>
    <w:rsid w:val="009B135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6A0DF2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6A0DF2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F86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3B9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locked/>
    <w:rsid w:val="00257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style3000.dot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1243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http://www.tale.edu.au/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State of NSW Department of Education</dc:creator>
  <cp:keywords/>
  <dc:description/>
  <cp:lastModifiedBy>Brooks, Michael</cp:lastModifiedBy>
  <cp:revision>4</cp:revision>
  <cp:lastPrinted>2004-08-12T22:55:00Z</cp:lastPrinted>
  <dcterms:created xsi:type="dcterms:W3CDTF">2018-08-15T04:27:00Z</dcterms:created>
  <dcterms:modified xsi:type="dcterms:W3CDTF">2018-08-15T04:34:00Z</dcterms:modified>
</cp:coreProperties>
</file>